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B15CE8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 w:rsidRPr="00B15CE8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CB13E4" w:rsidRPr="001A6F4D" w:rsidRDefault="00CB13E4" w:rsidP="00CB13E4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1A6F4D">
        <w:rPr>
          <w:rFonts w:eastAsia="Times New Roman" w:cs="Arial"/>
          <w:b/>
          <w:bCs/>
          <w:sz w:val="32"/>
          <w:szCs w:val="32"/>
        </w:rPr>
        <w:t>„</w:t>
      </w:r>
      <w:r w:rsidR="00A01A8B" w:rsidRPr="001A6F4D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1A6F4D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8D1A79" w:rsidRPr="008E48E8" w:rsidRDefault="008D1A79" w:rsidP="00C47A7C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9B2F02" w:rsidRPr="002A5F88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 xml:space="preserve">zadávána formou </w:t>
      </w:r>
      <w:r w:rsidR="00A01A8B">
        <w:rPr>
          <w:rFonts w:eastAsia="Times New Roman" w:cs="Calibri"/>
          <w:i/>
          <w:lang w:eastAsia="cs-CZ"/>
        </w:rPr>
        <w:t>otevřeného</w:t>
      </w:r>
      <w:r>
        <w:rPr>
          <w:rFonts w:eastAsia="Times New Roman" w:cs="Calibri"/>
          <w:i/>
          <w:lang w:eastAsia="cs-CZ"/>
        </w:rPr>
        <w:t xml:space="preserve"> řízení v souladu s ustanovením § 5</w:t>
      </w:r>
      <w:r w:rsidR="00A01A8B">
        <w:rPr>
          <w:rFonts w:eastAsia="Times New Roman" w:cs="Calibri"/>
          <w:i/>
          <w:lang w:eastAsia="cs-CZ"/>
        </w:rPr>
        <w:t>6</w:t>
      </w:r>
      <w:r>
        <w:rPr>
          <w:rFonts w:eastAsia="Times New Roman" w:cs="Calibri"/>
          <w:i/>
          <w:lang w:eastAsia="cs-CZ"/>
        </w:rPr>
        <w:t xml:space="preserve"> a následujících zákona č. 134/2016 Sb., o zadávání veřejných zakázek, ve znění pozdějších předpisů</w:t>
      </w:r>
    </w:p>
    <w:p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D1A79" w:rsidRPr="0053116D" w:rsidRDefault="00860E6A" w:rsidP="008D1A79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A01A8B">
        <w:rPr>
          <w:b/>
          <w:sz w:val="24"/>
          <w:szCs w:val="24"/>
        </w:rPr>
        <w:t>Město Libáň</w:t>
      </w:r>
    </w:p>
    <w:p w:rsidR="00A01A8B" w:rsidRPr="00BA4B2A" w:rsidRDefault="00852E82" w:rsidP="00A01A8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 w:rsidR="00A01A8B">
        <w:rPr>
          <w:rFonts w:eastAsia="Times New Roman"/>
          <w:sz w:val="24"/>
          <w:szCs w:val="24"/>
          <w:lang w:eastAsia="ar-SA"/>
        </w:rPr>
        <w:tab/>
      </w:r>
      <w:r w:rsidR="00A01A8B">
        <w:rPr>
          <w:rFonts w:eastAsia="Times New Roman"/>
          <w:sz w:val="24"/>
          <w:szCs w:val="24"/>
          <w:lang w:eastAsia="ar-SA"/>
        </w:rPr>
        <w:tab/>
      </w:r>
      <w:r w:rsidR="00A01A8B"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A01A8B" w:rsidRPr="00BA4B2A" w:rsidRDefault="00A01A8B" w:rsidP="00A01A8B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A01A8B" w:rsidRDefault="00A01A8B" w:rsidP="00A01A8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A01A8B" w:rsidRPr="004D5D29" w:rsidRDefault="00A01A8B" w:rsidP="00A01A8B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A01A8B" w:rsidRPr="004D5D29" w:rsidRDefault="00A01A8B" w:rsidP="00A01A8B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9C2B7F" w:rsidRPr="0038017D" w:rsidRDefault="009C2B7F" w:rsidP="00A01A8B">
      <w:pPr>
        <w:tabs>
          <w:tab w:val="left" w:pos="2835"/>
        </w:tabs>
        <w:spacing w:after="240"/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B15CE8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B15CE8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0461C">
        <w:rPr>
          <w:rFonts w:cs="Arial"/>
          <w:sz w:val="18"/>
          <w:szCs w:val="18"/>
        </w:rPr>
        <w:tab/>
        <w:t xml:space="preserve">(obchodní firma </w:t>
      </w:r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B15CE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15CE8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15CE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15CE8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15CE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15CE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15CE8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01A8B" w:rsidRDefault="00A01A8B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A76066" w:rsidRPr="00566C33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244A9A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CB7460" w:rsidRDefault="00CB7460" w:rsidP="00CB7460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CB13E4" w:rsidRDefault="00CB13E4" w:rsidP="00CB13E4">
      <w:pPr>
        <w:spacing w:before="60"/>
        <w:jc w:val="both"/>
        <w:rPr>
          <w:rFonts w:asciiTheme="minorHAnsi" w:hAnsiTheme="minorHAnsi" w:cstheme="minorHAnsi"/>
        </w:rPr>
      </w:pPr>
    </w:p>
    <w:p w:rsidR="00CB13E4" w:rsidRPr="00CB13E4" w:rsidRDefault="00CB13E4" w:rsidP="00CB13E4">
      <w:pPr>
        <w:spacing w:before="60"/>
        <w:jc w:val="both"/>
        <w:rPr>
          <w:rFonts w:asciiTheme="minorHAnsi" w:hAnsiTheme="minorHAnsi" w:cstheme="minorHAnsi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</w:t>
      </w:r>
      <w:proofErr w:type="gramStart"/>
      <w:r w:rsidRPr="00051CED">
        <w:rPr>
          <w:rFonts w:asciiTheme="minorHAnsi" w:hAnsiTheme="minorHAnsi" w:cstheme="minorHAnsi"/>
        </w:rPr>
        <w:t>němuž</w:t>
      </w:r>
      <w:proofErr w:type="gramEnd"/>
      <w:r w:rsidRPr="00051CED">
        <w:rPr>
          <w:rFonts w:asciiTheme="minorHAnsi" w:hAnsiTheme="minorHAnsi" w:cstheme="minorHAnsi"/>
        </w:rPr>
        <w:t xml:space="preserve">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17ED1" w:rsidRDefault="00617ED1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17ED1" w:rsidRDefault="00617ED1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17ED1" w:rsidRPr="00566C33" w:rsidRDefault="00617ED1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B15CE8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B15CE8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B15CE8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B15CE8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FB9" w:rsidRDefault="00377FB9" w:rsidP="0003428A">
      <w:pPr>
        <w:spacing w:after="0" w:line="240" w:lineRule="auto"/>
      </w:pPr>
      <w:r>
        <w:separator/>
      </w:r>
    </w:p>
  </w:endnote>
  <w:endnote w:type="continuationSeparator" w:id="0">
    <w:p w:rsidR="00377FB9" w:rsidRDefault="00377FB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923D7F" w:rsidP="009C2B7F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FB9" w:rsidRDefault="00377FB9" w:rsidP="0003428A">
      <w:pPr>
        <w:spacing w:after="0" w:line="240" w:lineRule="auto"/>
      </w:pPr>
      <w:r>
        <w:separator/>
      </w:r>
    </w:p>
  </w:footnote>
  <w:footnote w:type="continuationSeparator" w:id="0">
    <w:p w:rsidR="00377FB9" w:rsidRDefault="00377FB9" w:rsidP="0003428A">
      <w:pPr>
        <w:spacing w:after="0" w:line="240" w:lineRule="auto"/>
      </w:pPr>
      <w:r>
        <w:continuationSeparator/>
      </w:r>
    </w:p>
  </w:footnote>
  <w:footnote w:id="1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8B" w:rsidRPr="00BA4B2A" w:rsidRDefault="00A01A8B" w:rsidP="00A01A8B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94080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8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11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A01A8B" w:rsidRPr="00BA4B2A" w:rsidRDefault="00A01A8B" w:rsidP="00A01A8B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A01A8B" w:rsidRPr="00BA4B2A" w:rsidRDefault="00A01A8B" w:rsidP="00A01A8B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A01A8B" w:rsidRDefault="00A01A8B" w:rsidP="00A01A8B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A01A8B" w:rsidRPr="00F804EC" w:rsidRDefault="00A01A8B" w:rsidP="00A01A8B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2349D"/>
    <w:rsid w:val="00161650"/>
    <w:rsid w:val="00190591"/>
    <w:rsid w:val="00196DE5"/>
    <w:rsid w:val="001A4E29"/>
    <w:rsid w:val="001A6F4D"/>
    <w:rsid w:val="001C39E4"/>
    <w:rsid w:val="001D4A2A"/>
    <w:rsid w:val="001D7F95"/>
    <w:rsid w:val="001E4D99"/>
    <w:rsid w:val="001F18A5"/>
    <w:rsid w:val="00203305"/>
    <w:rsid w:val="00212269"/>
    <w:rsid w:val="00212CD4"/>
    <w:rsid w:val="00214815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D0236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75301"/>
    <w:rsid w:val="0037592A"/>
    <w:rsid w:val="00376E7D"/>
    <w:rsid w:val="00377FB9"/>
    <w:rsid w:val="00383510"/>
    <w:rsid w:val="003A17B3"/>
    <w:rsid w:val="003B3C36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241F7"/>
    <w:rsid w:val="00447F9F"/>
    <w:rsid w:val="00462EE6"/>
    <w:rsid w:val="00471828"/>
    <w:rsid w:val="00491706"/>
    <w:rsid w:val="004A2D08"/>
    <w:rsid w:val="004A57C7"/>
    <w:rsid w:val="004D486E"/>
    <w:rsid w:val="004D519D"/>
    <w:rsid w:val="004F3FC3"/>
    <w:rsid w:val="00500DA8"/>
    <w:rsid w:val="005046C8"/>
    <w:rsid w:val="0051443D"/>
    <w:rsid w:val="0052188E"/>
    <w:rsid w:val="0052736C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17ED1"/>
    <w:rsid w:val="00623A38"/>
    <w:rsid w:val="006309B1"/>
    <w:rsid w:val="00640278"/>
    <w:rsid w:val="006411F2"/>
    <w:rsid w:val="00646C95"/>
    <w:rsid w:val="0066796B"/>
    <w:rsid w:val="00672039"/>
    <w:rsid w:val="006A1B80"/>
    <w:rsid w:val="006B5446"/>
    <w:rsid w:val="006C2613"/>
    <w:rsid w:val="006D40E7"/>
    <w:rsid w:val="006D544C"/>
    <w:rsid w:val="006E336C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B05BC"/>
    <w:rsid w:val="008B3ABF"/>
    <w:rsid w:val="008D1A79"/>
    <w:rsid w:val="008D6A86"/>
    <w:rsid w:val="008E48E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01A8B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5CE8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26BF3"/>
    <w:rsid w:val="00C47A7C"/>
    <w:rsid w:val="00C56079"/>
    <w:rsid w:val="00C91480"/>
    <w:rsid w:val="00C92B0B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36F79"/>
    <w:rsid w:val="00D477B8"/>
    <w:rsid w:val="00D61332"/>
    <w:rsid w:val="00DA64D5"/>
    <w:rsid w:val="00DB2694"/>
    <w:rsid w:val="00DB26B7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19B0"/>
    <w:rsid w:val="00F37D19"/>
    <w:rsid w:val="00F4796F"/>
    <w:rsid w:val="00F7420E"/>
    <w:rsid w:val="00F76822"/>
    <w:rsid w:val="00FA185B"/>
    <w:rsid w:val="00FA5F1B"/>
    <w:rsid w:val="00FB061F"/>
    <w:rsid w:val="00FB2007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  <o:rules v:ext="edit">
        <o:r id="V:Rule10" type="connector" idref="#_x0000_s1033"/>
        <o:r id="V:Rule11" type="connector" idref="#_x0000_s1036"/>
        <o:r id="V:Rule12" type="connector" idref="#AutoShape 50"/>
        <o:r id="V:Rule13" type="connector" idref="#AutoShape 54"/>
        <o:r id="V:Rule14" type="connector" idref="#AutoShape 51"/>
        <o:r id="V:Rule15" type="connector" idref="#_x0000_s1034"/>
        <o:r id="V:Rule16" type="connector" idref="#AutoShape 52"/>
        <o:r id="V:Rule17" type="connector" idref="#AutoShape 53"/>
        <o:r id="V:Rule1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semiHidden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dcterms:created xsi:type="dcterms:W3CDTF">2021-05-04T08:29:00Z</dcterms:created>
  <dcterms:modified xsi:type="dcterms:W3CDTF">2021-05-04T08:37:00Z</dcterms:modified>
</cp:coreProperties>
</file>